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b w:val="1"/>
          <w:u w:val="single"/>
          <w:rtl w:val="0"/>
        </w:rPr>
        <w:t xml:space="preserve">2012 Model Proposal</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Title: The Paths People Take Through the Services We Offer Session type: 75-minute interactive</w:t>
      </w:r>
    </w:p>
    <w:p w:rsidR="00000000" w:rsidDel="00000000" w:rsidP="00000000" w:rsidRDefault="00000000" w:rsidRPr="00000000">
      <w:pPr>
        <w:keepNext w:val="0"/>
        <w:keepLines w:val="0"/>
        <w:widowControl w:val="0"/>
        <w:contextualSpacing w:val="0"/>
      </w:pPr>
      <w:r w:rsidDel="00000000" w:rsidR="00000000" w:rsidRPr="00000000">
        <w:rPr>
          <w:rtl w:val="0"/>
        </w:rPr>
        <w:t xml:space="preserve">Audience: All POD members</w:t>
      </w:r>
    </w:p>
    <w:p w:rsidR="00000000" w:rsidDel="00000000" w:rsidP="00000000" w:rsidRDefault="00000000" w:rsidRPr="00000000">
      <w:pPr>
        <w:keepNext w:val="0"/>
        <w:keepLines w:val="0"/>
        <w:widowControl w:val="0"/>
        <w:contextualSpacing w:val="0"/>
      </w:pPr>
      <w:r w:rsidDel="00000000" w:rsidR="00000000" w:rsidRPr="00000000">
        <w:rPr>
          <w:rtl w:val="0"/>
        </w:rPr>
        <w:t xml:space="preserve">Topics: 1 – Assessment, 2 – Programs, 3 – Research</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b w:val="1"/>
          <w:rtl w:val="0"/>
        </w:rPr>
        <w:t xml:space="preserve">Abstract:</w:t>
      </w:r>
    </w:p>
    <w:p w:rsidR="00000000" w:rsidDel="00000000" w:rsidP="00000000" w:rsidRDefault="00000000" w:rsidRPr="00000000">
      <w:pPr>
        <w:keepNext w:val="0"/>
        <w:keepLines w:val="0"/>
        <w:widowControl w:val="0"/>
        <w:contextualSpacing w:val="0"/>
      </w:pPr>
      <w:r w:rsidDel="00000000" w:rsidR="00000000" w:rsidRPr="00000000">
        <w:rPr>
          <w:rtl w:val="0"/>
        </w:rPr>
        <w:t xml:space="preserve">Educational developers offer a variety of services, ranging from one-time workshops to ongoing programs like learning communities to consultations and collecting student feedback. However, individual instructors obviously do not participate in everything. Rather, they create their own combinations and sequences of these programs. What do we know about the patterns of use and what can we learn from those patterns? In this interactive session, we will explore findings from a statistical analysis of ten years of data to learn more about the sequence in which instructors experience educational development and discuss the implications of these findings.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b w:val="1"/>
          <w:rtl w:val="0"/>
        </w:rPr>
        <w:t xml:space="preserve">Proposal Description: Conceptual framework:</w:t>
      </w:r>
    </w:p>
    <w:p w:rsidR="00000000" w:rsidDel="00000000" w:rsidP="00000000" w:rsidRDefault="00000000" w:rsidRPr="00000000">
      <w:pPr>
        <w:keepNext w:val="0"/>
        <w:keepLines w:val="0"/>
        <w:widowControl w:val="0"/>
        <w:contextualSpacing w:val="0"/>
      </w:pPr>
      <w:r w:rsidDel="00000000" w:rsidR="00000000" w:rsidRPr="00000000">
        <w:rPr>
          <w:rtl w:val="0"/>
        </w:rPr>
        <w:t xml:space="preserve">Educational developers typically offer a variety of services, including one-time programs like workshops, ongoing programs like learning communities, and individual consultations, which often include student feedback. (Sorcinelli et al., 2005; Lee, 2010). Our field has scholarship that looks at overall use of services (Wright, 2011; Plank et al., 2005), as well as studies that measure the effectiveness of specific categories of service, finding, for example, that ongoing programs like learning communities have greater impact than one-time workshops (Holley, et al, 2011) and that collecting midterm feedback can enhance instruction (Finelli, et al, 2011).</w:t>
      </w:r>
    </w:p>
    <w:p w:rsidR="00000000" w:rsidDel="00000000" w:rsidP="00000000" w:rsidRDefault="00000000" w:rsidRPr="00000000">
      <w:pPr>
        <w:keepNext w:val="0"/>
        <w:keepLines w:val="0"/>
        <w:widowControl w:val="0"/>
        <w:contextualSpacing w:val="0"/>
      </w:pPr>
      <w:r w:rsidDel="00000000" w:rsidR="00000000" w:rsidRPr="00000000">
        <w:rPr>
          <w:rtl w:val="0"/>
        </w:rPr>
        <w:t xml:space="preserve">However, another dimension to consider is the “curriculum” individual instructors make for themselves as they proceed (or do not proceed) through our services. Individuals do not participate in all of our programming nor go through programs in a set order but, rather, create their own combinations and sequences over time. The perspective of individual participants as they make their way through our offerings provides an informative lens for understanding their experience of educational development. Which programs are mostly likely to be an entry point to participation in our services? Do one-time workshops act as a gateway to bring in new users who will then move on to other programs that will have a greater impact, as is commonly assumed? Are participants in ongoing, extensive programs more likely to take advantage of other services? What about those who consult individually with developers or collect midterm feedback? Do instructors from different demographics follow different paths? Which participants are more likely to become repeat users?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To begin to answer questions like these, this study examines 10 years of user data from a major university teaching center. Statistical analysis of these records--which comprise over 11,000 instructors, 1,700 programs, and 5,400 individual consultations--reveals typical patterns of usage, showing some of the pathways instructors follow and the different combinations and sequences they create for themselves.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Educational development in the 21st century must be evidence-based and responsive to the needs of a diverse population of faculty and graduate students. Better understanding the different ways instructors experience our programs helps us do both. This analysis lets us see our programs from the perspective of those we serve and also provides us with useful evidence for making decisions about the services we provide.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b w:val="1"/>
          <w:rtl w:val="0"/>
        </w:rPr>
        <w:t xml:space="preserve">Agenda:</w:t>
      </w:r>
    </w:p>
    <w:p w:rsidR="00000000" w:rsidDel="00000000" w:rsidP="00000000" w:rsidRDefault="00000000" w:rsidRPr="00000000">
      <w:pPr>
        <w:keepNext w:val="0"/>
        <w:keepLines w:val="0"/>
        <w:widowControl w:val="0"/>
        <w:contextualSpacing w:val="0"/>
      </w:pPr>
      <w:r w:rsidDel="00000000" w:rsidR="00000000" w:rsidRPr="00000000">
        <w:rPr>
          <w:rtl w:val="0"/>
        </w:rPr>
        <w:t xml:space="preserve">1. Discussion of the questions and assumptions that participants have about how people use their services, which will be recorded on flipchart for later discussion.</w:t>
      </w:r>
    </w:p>
    <w:p w:rsidR="00000000" w:rsidDel="00000000" w:rsidP="00000000" w:rsidRDefault="00000000" w:rsidRPr="00000000">
      <w:pPr>
        <w:keepNext w:val="0"/>
        <w:keepLines w:val="0"/>
        <w:widowControl w:val="0"/>
        <w:contextualSpacing w:val="0"/>
      </w:pPr>
      <w:r w:rsidDel="00000000" w:rsidR="00000000" w:rsidRPr="00000000">
        <w:rPr>
          <w:rtl w:val="0"/>
        </w:rPr>
        <w:t xml:space="preserve">2. Explanation of the data, the statistical analysis, and the patterns found.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3. Small group activity: each table will be given a subset of data reflecting one pattern and a set of guiding questions to interpret it.</w:t>
      </w:r>
    </w:p>
    <w:p w:rsidR="00000000" w:rsidDel="00000000" w:rsidP="00000000" w:rsidRDefault="00000000" w:rsidRPr="00000000">
      <w:pPr>
        <w:keepNext w:val="0"/>
        <w:keepLines w:val="0"/>
        <w:widowControl w:val="0"/>
        <w:contextualSpacing w:val="0"/>
      </w:pPr>
      <w:r w:rsidDel="00000000" w:rsidR="00000000" w:rsidRPr="00000000">
        <w:rPr>
          <w:rtl w:val="0"/>
        </w:rPr>
        <w:t xml:space="preserve">4. Discussion of what we can learn from these patterns, ideas for further research, and implications for our work in educational development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b w:val="1"/>
          <w:rtl w:val="0"/>
        </w:rPr>
        <w:t xml:space="preserve">Outcomes: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Participants will leave the session with a set of findings on patterns of use, a model for analyzing their own programming, and ideas for further research.</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b w:val="1"/>
          <w:rtl w:val="0"/>
        </w:rPr>
        <w:t xml:space="preserve">References: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Finelli, C. J., Pinder-Grover, T., &amp; Wright, M. (2011). Consultations on teaching. In Advancing the culture of teaching on campus. Sterling, VA: Stylus.</w:t>
      </w:r>
    </w:p>
    <w:p w:rsidR="00000000" w:rsidDel="00000000" w:rsidP="00000000" w:rsidRDefault="00000000" w:rsidRPr="00000000">
      <w:pPr>
        <w:keepNext w:val="0"/>
        <w:keepLines w:val="0"/>
        <w:widowControl w:val="0"/>
        <w:contextualSpacing w:val="0"/>
      </w:pPr>
      <w:r w:rsidDel="00000000" w:rsidR="00000000" w:rsidRPr="00000000">
        <w:rPr>
          <w:rtl w:val="0"/>
        </w:rPr>
        <w:t xml:space="preserve">Holley, M., Chism, N., &amp; Harris, C. (2011). Collaborating to assess the impact of educational</w:t>
      </w:r>
    </w:p>
    <w:p w:rsidR="00000000" w:rsidDel="00000000" w:rsidP="00000000" w:rsidRDefault="00000000" w:rsidRPr="00000000">
      <w:pPr>
        <w:keepNext w:val="0"/>
        <w:keepLines w:val="0"/>
        <w:widowControl w:val="0"/>
        <w:contextualSpacing w:val="0"/>
      </w:pPr>
      <w:r w:rsidDel="00000000" w:rsidR="00000000" w:rsidRPr="00000000">
        <w:rPr>
          <w:rtl w:val="0"/>
        </w:rPr>
        <w:t xml:space="preserve">development. Presentation at 2011 POD-HBCUFN Conference, Atlanta.</w:t>
      </w:r>
    </w:p>
    <w:p w:rsidR="00000000" w:rsidDel="00000000" w:rsidP="00000000" w:rsidRDefault="00000000" w:rsidRPr="00000000">
      <w:pPr>
        <w:keepNext w:val="0"/>
        <w:keepLines w:val="0"/>
        <w:widowControl w:val="0"/>
        <w:contextualSpacing w:val="0"/>
      </w:pPr>
      <w:r w:rsidDel="00000000" w:rsidR="00000000" w:rsidRPr="00000000">
        <w:rPr>
          <w:rtl w:val="0"/>
        </w:rPr>
        <w:t xml:space="preserve">Lee, V. (2010). Program types and prototypes. In A Guide to Faculty Development, 2nd 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Plank, K. M., Kalish, A., Rohdieck, S. V., &amp; Harper, K. A. (2005). A vision beyond measurement: Creating an integrated data system for teaching centers. To Improve the Academy. Vol 23 (pp. 173-190). Sorcinelli, M.D., Austin, A. E., Eddy, P. L., &amp; Beach, A. L. (2005). Creating the future of faculty development: Learning from the past, understand the present. NY: Wiley.</w:t>
      </w:r>
    </w:p>
    <w:p w:rsidR="00000000" w:rsidDel="00000000" w:rsidP="00000000" w:rsidRDefault="00000000" w:rsidRPr="00000000">
      <w:pPr>
        <w:keepNext w:val="0"/>
        <w:keepLines w:val="0"/>
        <w:widowControl w:val="0"/>
        <w:contextualSpacing w:val="0"/>
      </w:pPr>
      <w:r w:rsidDel="00000000" w:rsidR="00000000" w:rsidRPr="00000000">
        <w:rPr>
          <w:rtl w:val="0"/>
        </w:rPr>
        <w:t xml:space="preserve">Wright, M. C. (2011). Measuring a teaching center’s effectiveness. In Advancing the culture of teaching on campus. Sterling, VA: Stylus.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0"/>
        <w:spacing w:after="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spacing w:after="120" w:before="480" w:lineRule="auto"/>
      <w:contextualSpacing w:val="1"/>
    </w:pPr>
    <w:rPr>
      <w:b w:val="1"/>
      <w:sz w:val="36"/>
      <w:szCs w:val="36"/>
    </w:rPr>
  </w:style>
  <w:style w:type="paragraph" w:styleId="Heading2">
    <w:name w:val="heading 2"/>
    <w:basedOn w:val="Normal"/>
    <w:next w:val="Normal"/>
    <w:pPr>
      <w:keepNext w:val="0"/>
      <w:keepLines w:val="0"/>
      <w:widowControl w:val="0"/>
      <w:spacing w:after="80" w:before="360" w:lineRule="auto"/>
      <w:contextualSpacing w:val="1"/>
    </w:pPr>
    <w:rPr>
      <w:b w:val="1"/>
      <w:sz w:val="28"/>
      <w:szCs w:val="28"/>
    </w:rPr>
  </w:style>
  <w:style w:type="paragraph" w:styleId="Heading3">
    <w:name w:val="heading 3"/>
    <w:basedOn w:val="Normal"/>
    <w:next w:val="Normal"/>
    <w:pPr>
      <w:keepNext w:val="0"/>
      <w:keepLines w:val="0"/>
      <w:widowControl w:val="0"/>
      <w:spacing w:after="80" w:before="280" w:lineRule="auto"/>
      <w:contextualSpacing w:val="1"/>
    </w:pPr>
    <w:rPr>
      <w:b w:val="1"/>
      <w:color w:val="666666"/>
      <w:sz w:val="24"/>
      <w:szCs w:val="24"/>
    </w:rPr>
  </w:style>
  <w:style w:type="paragraph" w:styleId="Heading4">
    <w:name w:val="heading 4"/>
    <w:basedOn w:val="Normal"/>
    <w:next w:val="Normal"/>
    <w:pPr>
      <w:keepNext w:val="0"/>
      <w:keepLines w:val="0"/>
      <w:widowControl w:val="0"/>
      <w:spacing w:after="40" w:before="240" w:lineRule="auto"/>
      <w:contextualSpacing w:val="1"/>
    </w:pPr>
    <w:rPr>
      <w:i w:val="1"/>
      <w:color w:val="666666"/>
      <w:sz w:val="22"/>
      <w:szCs w:val="22"/>
    </w:rPr>
  </w:style>
  <w:style w:type="paragraph" w:styleId="Heading5">
    <w:name w:val="heading 5"/>
    <w:basedOn w:val="Normal"/>
    <w:next w:val="Normal"/>
    <w:pPr>
      <w:keepNext w:val="0"/>
      <w:keepLines w:val="0"/>
      <w:widowControl w:val="0"/>
      <w:spacing w:after="40" w:before="220" w:lineRule="auto"/>
      <w:contextualSpacing w:val="1"/>
    </w:pPr>
    <w:rPr>
      <w:b w:val="1"/>
      <w:color w:val="666666"/>
      <w:sz w:val="20"/>
      <w:szCs w:val="20"/>
    </w:rPr>
  </w:style>
  <w:style w:type="paragraph" w:styleId="Heading6">
    <w:name w:val="heading 6"/>
    <w:basedOn w:val="Normal"/>
    <w:next w:val="Normal"/>
    <w:pPr>
      <w:keepNext w:val="0"/>
      <w:keepLines w:val="0"/>
      <w:widowControl w:val="0"/>
      <w:spacing w:after="40" w:before="200" w:lineRule="auto"/>
      <w:contextualSpacing w:val="1"/>
    </w:pPr>
    <w:rPr>
      <w:i w:val="1"/>
      <w:color w:val="666666"/>
      <w:sz w:val="20"/>
      <w:szCs w:val="20"/>
    </w:rPr>
  </w:style>
  <w:style w:type="paragraph" w:styleId="Title">
    <w:name w:val="Title"/>
    <w:basedOn w:val="Normal"/>
    <w:next w:val="Normal"/>
    <w:pPr>
      <w:keepNext w:val="0"/>
      <w:keepLines w:val="0"/>
      <w:widowControl w:val="0"/>
      <w:spacing w:after="120" w:before="480" w:lineRule="auto"/>
      <w:contextualSpacing w:val="1"/>
    </w:pPr>
    <w:rPr>
      <w:b w:val="1"/>
      <w:sz w:val="72"/>
      <w:szCs w:val="72"/>
    </w:rPr>
  </w:style>
  <w:style w:type="paragraph" w:styleId="Subtitle">
    <w:name w:val="Subtitle"/>
    <w:basedOn w:val="Normal"/>
    <w:next w:val="Normal"/>
    <w:pPr>
      <w:keepNext w:val="0"/>
      <w:keepLines w:val="0"/>
      <w:widowControl w:val="0"/>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